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CF" w:rsidRPr="00260F52" w:rsidRDefault="00AD6ECF" w:rsidP="00542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bookmarkStart w:id="0" w:name="P272"/>
      <w:bookmarkEnd w:id="0"/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AD6ECF" w:rsidRDefault="00AD6ECF" w:rsidP="00542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организации</w:t>
      </w:r>
      <w:r w:rsidR="0054282B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отдыха детей и их оздоровления</w:t>
      </w:r>
    </w:p>
    <w:p w:rsidR="00615C4F" w:rsidRPr="00591EDC" w:rsidRDefault="00591EDC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МКОУ «Каширинская средняя общеобразовательная школа им. Белоусова Д.А.»</w:t>
      </w:r>
    </w:p>
    <w:p w:rsidR="00615C4F" w:rsidRPr="0054282B" w:rsidRDefault="00591EDC" w:rsidP="00542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</w:pPr>
      <w:r w:rsidRPr="00C232F8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 xml:space="preserve"> </w:t>
      </w:r>
      <w:r w:rsidR="00AD6ECF" w:rsidRPr="00C232F8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 xml:space="preserve">(наименование организации </w:t>
      </w:r>
      <w:r w:rsidR="0054282B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отдыха детей и их оздоровления)</w:t>
      </w:r>
    </w:p>
    <w:p w:rsidR="00AD6ECF" w:rsidRPr="00260F52" w:rsidRDefault="00AD6ECF" w:rsidP="00542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по состоянию на «</w:t>
      </w:r>
      <w:r w:rsidR="00591ED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711D1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3</w:t>
      </w:r>
      <w:r w:rsidR="00EB098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1</w:t>
      </w:r>
      <w:r w:rsidR="00591ED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  <w:r w:rsidR="00591ED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711D1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  <w:t>мая</w:t>
      </w:r>
      <w:r w:rsidR="00591EDC"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91ED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20</w:t>
      </w:r>
      <w:r w:rsidR="00591EDC" w:rsidRPr="00EB098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2</w:t>
      </w:r>
      <w:r w:rsidR="00F711D1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4</w:t>
      </w:r>
      <w:bookmarkStart w:id="1" w:name="_GoBack"/>
      <w:bookmarkEnd w:id="1"/>
      <w:r w:rsidRPr="00EB098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г.</w:t>
      </w: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75"/>
        <w:gridCol w:w="3120"/>
        <w:gridCol w:w="1141"/>
        <w:gridCol w:w="425"/>
        <w:gridCol w:w="1418"/>
        <w:gridCol w:w="780"/>
        <w:gridCol w:w="709"/>
        <w:gridCol w:w="1490"/>
      </w:tblGrid>
      <w:tr w:rsidR="00260F52" w:rsidRPr="00D64C44" w:rsidTr="0054282B">
        <w:trPr>
          <w:trHeight w:val="60"/>
        </w:trPr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1EDC" w:rsidP="0068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91ED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Муниципальное казенное общеобразовательное учреждение «Каширинская средняя общеобразовательная школа имени Белоус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ова Д.А.» 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тронной почты, ФИО руководителя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0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641314, Курганская область Кетовский райо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аширино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д.26, 54-</w:t>
            </w:r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3-75, kashirinoschool@yandex.ru, </w:t>
            </w:r>
            <w:hyperlink r:id="rId9" w:history="1">
              <w:r w:rsidRPr="003B6134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https://shkolakashirinskaya-r45.gosweb.gosuslugi.ru/</w:t>
              </w:r>
            </w:hyperlink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Головизнина Наталья Борисовна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  <w:proofErr w:type="gramEnd"/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0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ИНН 4510018443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КПП 451001001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0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85.14 – образование среднее общее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0C3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«Каширинская средняя общеобразовательная школа имени Белоусова Д.А.»  </w:t>
            </w:r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контактный телефон, адрес электронной почты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10C3" w:rsidP="0068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641314, Курганская область Кетовский район </w:t>
            </w:r>
            <w:proofErr w:type="spellStart"/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Start"/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аширино</w:t>
            </w:r>
            <w:proofErr w:type="spellEnd"/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6810C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д.26, 54-3-75, kashirinoschool@yandex.ru, </w:t>
            </w:r>
            <w:hyperlink r:id="rId10" w:history="1">
              <w:r w:rsidRPr="003B6134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https://shkolakashirinskaya-r45.gosweb.gosuslugi.ru/</w:t>
              </w:r>
            </w:hyperlink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F711D1" w:rsidP="00F7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Козуб Анна Сергеевна</w:t>
            </w:r>
            <w:r w:rsidR="007F4C8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заведующий филиалом</w:t>
            </w:r>
            <w:r w:rsidR="007F4C8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образование высшее, стаж </w:t>
            </w:r>
            <w:r w:rsidR="007F4C8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 лет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B4D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Администрация Кетовского муниципального округа Курганской области</w:t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641310, Курганская область, с. </w:t>
            </w:r>
            <w:proofErr w:type="spellStart"/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Кетово</w:t>
            </w:r>
            <w:proofErr w:type="spellEnd"/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ул. Космонавтов, 39</w:t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83523123350</w:t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</w:t>
            </w:r>
            <w:r w:rsidR="00AD6EC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руководителя (без сокращений)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Бакланова Валентина Александровна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детский санаторий, санаторный оздоровительный лагерь круглогодичного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отдыха детей и их оздоровления сезонного/круглогодичного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дневным пребыванием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палаточного типа 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др.)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оздоровительный лагерь с дневным пребыванием детей</w:t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  <w:r w:rsidRPr="005A48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положение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1987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сезонно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6,5-17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50%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1.17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ПАЗ 32053-70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сетка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Сторож в штате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54282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260F52" w:rsidRPr="00D64C44" w:rsidTr="0054282B">
        <w:trPr>
          <w:trHeight w:val="288"/>
        </w:trPr>
        <w:tc>
          <w:tcPr>
            <w:tcW w:w="1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260F52" w:rsidRPr="00D64C44" w:rsidTr="0054282B">
        <w:trPr>
          <w:trHeight w:val="200"/>
        </w:trPr>
        <w:tc>
          <w:tcPr>
            <w:tcW w:w="1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A4842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F711D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F711D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Логопед, 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F711D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я, используемые в работе лагеря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:rsidR="00D63917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4693,9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2022г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260F52" w:rsidRPr="00D64C44" w:rsidTr="0054282B">
        <w:tc>
          <w:tcPr>
            <w:tcW w:w="1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Здания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</w:tr>
      <w:tr w:rsidR="00260F52" w:rsidRPr="00D64C44" w:rsidTr="0054282B">
        <w:tc>
          <w:tcPr>
            <w:tcW w:w="1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№ _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общая площадь спальных помещений (в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етрах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):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библиотека (количество мест в читальном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Точка роста для </w:t>
            </w:r>
            <w:proofErr w:type="spellStart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роботехники</w:t>
            </w:r>
            <w:proofErr w:type="spellEnd"/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шахматы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F711D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кв.м</w:t>
            </w:r>
            <w:proofErr w:type="spell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Год последнего ремонта (текущий,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</w:t>
            </w:r>
            <w:proofErr w:type="spellEnd"/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дезрастворов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7.2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F711D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F711D1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столовой посудой,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90%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обеспеченность кухонной посудой,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90%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94B58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 посудомоечной машины, необходима 1 эл. плита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Необходима морозильная камера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имеется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буфет-раздаточная</w:t>
            </w:r>
            <w:proofErr w:type="gramEnd"/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от местного водопровода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централизованное от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артскважины</w:t>
            </w:r>
            <w:proofErr w:type="spellEnd"/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4282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54282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  <w:proofErr w:type="gramEnd"/>
            <w:r w:rsidRPr="0054282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от местного водопровода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водонагреватель</w:t>
            </w:r>
          </w:p>
        </w:tc>
      </w:tr>
      <w:tr w:rsidR="00260F52" w:rsidRPr="00D64C44" w:rsidTr="0054282B">
        <w:trPr>
          <w:trHeight w:val="60"/>
        </w:trPr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Выгребного типа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есть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инфраструктуры организации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8.2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профильных групп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квалифицированных специалистов по работе с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детьми-инвалидами и детьми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Логопед, дефектолог (2 специалиста)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возможности организации совместного отдыха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детей-инвалидов и детей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слабовидящих</w:t>
            </w:r>
            <w:proofErr w:type="gram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наличие </w:t>
            </w:r>
            <w:proofErr w:type="spellStart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сурдопереводчиков</w:t>
            </w:r>
            <w:proofErr w:type="spellEnd"/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54282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1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3" w:name="sub_12001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3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:rsidTr="0054282B">
        <w:tc>
          <w:tcPr>
            <w:tcW w:w="102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D64C44" w:rsidRPr="00D64C44" w:rsidRDefault="00D64C44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4"/>
          <w:szCs w:val="20"/>
          <w:lang w:eastAsia="ru-RU"/>
        </w:rPr>
      </w:pPr>
    </w:p>
    <w:p w:rsidR="00AD6ECF" w:rsidRPr="00F00542" w:rsidRDefault="00AD6ECF" w:rsidP="00A6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F00542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</w:t>
      </w:r>
      <w:r w:rsidR="00A64D3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«да» или «нет»;</w:t>
      </w:r>
      <w:proofErr w:type="gramEnd"/>
    </w:p>
    <w:p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:rsidR="00AD6ECF" w:rsidRPr="005F220B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</w:p>
    <w:p w:rsidR="00073B37" w:rsidRDefault="00073B37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5F220B" w:rsidRPr="005F220B" w:rsidRDefault="005F220B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Руководитель / 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индивидуальный предприниматель               __________      </w:t>
      </w:r>
      <w:r w:rsidR="00EB0988">
        <w:rPr>
          <w:rFonts w:ascii="Arial" w:hAnsi="Arial" w:cs="Arial"/>
          <w:color w:val="000000" w:themeColor="text1"/>
          <w:sz w:val="24"/>
          <w:szCs w:val="24"/>
          <w:u w:val="single"/>
        </w:rPr>
        <w:t>Н.Б. Головизнина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(уполномоченное лицо)                                                     (подпись)                      (инициалы, фамилия)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5F220B" w:rsidRDefault="00EB0988" w:rsidP="00EB0988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5F220B"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 w:rsidR="005F220B">
        <w:rPr>
          <w:rFonts w:ascii="Arial" w:hAnsi="Arial" w:cs="Arial"/>
          <w:color w:val="000000" w:themeColor="text1"/>
          <w:sz w:val="20"/>
          <w:szCs w:val="24"/>
        </w:rPr>
        <w:t xml:space="preserve">(при наличии)           </w:t>
      </w:r>
      <w:r w:rsidR="00F711D1">
        <w:rPr>
          <w:rFonts w:ascii="Arial" w:hAnsi="Arial" w:cs="Arial"/>
          <w:color w:val="000000" w:themeColor="text1"/>
          <w:sz w:val="20"/>
          <w:szCs w:val="24"/>
          <w:u w:val="single"/>
        </w:rPr>
        <w:t>31</w:t>
      </w:r>
      <w:r>
        <w:rPr>
          <w:rFonts w:ascii="Arial" w:hAnsi="Arial" w:cs="Arial"/>
          <w:color w:val="000000" w:themeColor="text1"/>
          <w:sz w:val="20"/>
          <w:szCs w:val="24"/>
          <w:u w:val="single"/>
        </w:rPr>
        <w:t>.0</w:t>
      </w:r>
      <w:r w:rsidR="00F711D1">
        <w:rPr>
          <w:rFonts w:ascii="Arial" w:hAnsi="Arial" w:cs="Arial"/>
          <w:color w:val="000000" w:themeColor="text1"/>
          <w:sz w:val="20"/>
          <w:szCs w:val="24"/>
          <w:u w:val="single"/>
        </w:rPr>
        <w:t>5</w:t>
      </w:r>
      <w:r>
        <w:rPr>
          <w:rFonts w:ascii="Arial" w:hAnsi="Arial" w:cs="Arial"/>
          <w:color w:val="000000" w:themeColor="text1"/>
          <w:sz w:val="20"/>
          <w:szCs w:val="24"/>
          <w:u w:val="single"/>
        </w:rPr>
        <w:t>.202</w:t>
      </w:r>
      <w:r w:rsidR="00F711D1">
        <w:rPr>
          <w:rFonts w:ascii="Arial" w:hAnsi="Arial" w:cs="Arial"/>
          <w:color w:val="000000" w:themeColor="text1"/>
          <w:sz w:val="20"/>
          <w:szCs w:val="24"/>
          <w:u w:val="single"/>
        </w:rPr>
        <w:t>4</w:t>
      </w:r>
      <w:r>
        <w:rPr>
          <w:rFonts w:ascii="Arial" w:hAnsi="Arial" w:cs="Arial"/>
          <w:color w:val="000000" w:themeColor="text1"/>
          <w:sz w:val="20"/>
          <w:szCs w:val="24"/>
          <w:u w:val="single"/>
        </w:rPr>
        <w:t>г.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4"/>
        </w:rPr>
        <w:t>(дата)</w:t>
      </w:r>
    </w:p>
    <w:p w:rsidR="00E62482" w:rsidRPr="00260F52" w:rsidRDefault="00E62482" w:rsidP="00E6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sectPr w:rsidR="00E62482" w:rsidRPr="00260F52" w:rsidSect="00F375DA">
      <w:headerReference w:type="default" r:id="rId11"/>
      <w:type w:val="continuous"/>
      <w:pgSz w:w="11905" w:h="16838"/>
      <w:pgMar w:top="1134" w:right="567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3D" w:rsidRDefault="00B9093D" w:rsidP="005A7DC1">
      <w:pPr>
        <w:spacing w:after="0" w:line="240" w:lineRule="auto"/>
      </w:pPr>
      <w:r>
        <w:separator/>
      </w:r>
    </w:p>
  </w:endnote>
  <w:endnote w:type="continuationSeparator" w:id="0">
    <w:p w:rsidR="00B9093D" w:rsidRDefault="00B9093D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3D" w:rsidRDefault="00B9093D" w:rsidP="005A7DC1">
      <w:pPr>
        <w:spacing w:after="0" w:line="240" w:lineRule="auto"/>
      </w:pPr>
      <w:r>
        <w:separator/>
      </w:r>
    </w:p>
  </w:footnote>
  <w:footnote w:type="continuationSeparator" w:id="0">
    <w:p w:rsidR="00B9093D" w:rsidRDefault="00B9093D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90096984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6810C3" w:rsidRPr="0038260C" w:rsidRDefault="006810C3" w:rsidP="00C505DC">
        <w:pPr>
          <w:pStyle w:val="af2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F711D1">
          <w:rPr>
            <w:rFonts w:ascii="Arial" w:hAnsi="Arial" w:cs="Arial"/>
            <w:noProof/>
            <w:sz w:val="20"/>
          </w:rPr>
          <w:t>1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558213DB"/>
    <w:multiLevelType w:val="hybridMultilevel"/>
    <w:tmpl w:val="BF689386"/>
    <w:lvl w:ilvl="0" w:tplc="9D126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4CB"/>
    <w:rsid w:val="000002FB"/>
    <w:rsid w:val="00001BD3"/>
    <w:rsid w:val="0002269D"/>
    <w:rsid w:val="000231F8"/>
    <w:rsid w:val="00023477"/>
    <w:rsid w:val="00025368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3B37"/>
    <w:rsid w:val="00074BFD"/>
    <w:rsid w:val="00076F43"/>
    <w:rsid w:val="00080824"/>
    <w:rsid w:val="00082648"/>
    <w:rsid w:val="00087F1A"/>
    <w:rsid w:val="000A2DD8"/>
    <w:rsid w:val="000A6BB5"/>
    <w:rsid w:val="000A7BD4"/>
    <w:rsid w:val="000B2B10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A2D81"/>
    <w:rsid w:val="001A706C"/>
    <w:rsid w:val="001B55F8"/>
    <w:rsid w:val="001D0369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34CFF"/>
    <w:rsid w:val="00246EA3"/>
    <w:rsid w:val="0025327C"/>
    <w:rsid w:val="00260F52"/>
    <w:rsid w:val="00262BAC"/>
    <w:rsid w:val="00262BF4"/>
    <w:rsid w:val="00267C82"/>
    <w:rsid w:val="00273175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47F8"/>
    <w:rsid w:val="002D5650"/>
    <w:rsid w:val="002D6ACC"/>
    <w:rsid w:val="002E36EB"/>
    <w:rsid w:val="002E415B"/>
    <w:rsid w:val="002E41FD"/>
    <w:rsid w:val="002E65F9"/>
    <w:rsid w:val="002F194A"/>
    <w:rsid w:val="002F5428"/>
    <w:rsid w:val="0030598D"/>
    <w:rsid w:val="00315A01"/>
    <w:rsid w:val="003219D7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B2C3B"/>
    <w:rsid w:val="003C3BCB"/>
    <w:rsid w:val="003D46B8"/>
    <w:rsid w:val="003D7694"/>
    <w:rsid w:val="003E0846"/>
    <w:rsid w:val="003E0D1C"/>
    <w:rsid w:val="003E1D5E"/>
    <w:rsid w:val="003E2BE4"/>
    <w:rsid w:val="003E6345"/>
    <w:rsid w:val="003F0F4E"/>
    <w:rsid w:val="00407422"/>
    <w:rsid w:val="00410924"/>
    <w:rsid w:val="00434C4D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D03A1"/>
    <w:rsid w:val="004D5599"/>
    <w:rsid w:val="004E246B"/>
    <w:rsid w:val="004E4DED"/>
    <w:rsid w:val="004F6E2A"/>
    <w:rsid w:val="00500284"/>
    <w:rsid w:val="00500C86"/>
    <w:rsid w:val="00515282"/>
    <w:rsid w:val="00521AFB"/>
    <w:rsid w:val="005220A1"/>
    <w:rsid w:val="0053773C"/>
    <w:rsid w:val="00540FFB"/>
    <w:rsid w:val="0054282B"/>
    <w:rsid w:val="00555A61"/>
    <w:rsid w:val="00557774"/>
    <w:rsid w:val="00567B10"/>
    <w:rsid w:val="005843A3"/>
    <w:rsid w:val="00591EDC"/>
    <w:rsid w:val="00594B58"/>
    <w:rsid w:val="00597926"/>
    <w:rsid w:val="005A4842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422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10C3"/>
    <w:rsid w:val="006830E8"/>
    <w:rsid w:val="00694F3A"/>
    <w:rsid w:val="006969A1"/>
    <w:rsid w:val="006A1883"/>
    <w:rsid w:val="006A3857"/>
    <w:rsid w:val="006A4236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4203"/>
    <w:rsid w:val="007F2A03"/>
    <w:rsid w:val="007F4C8E"/>
    <w:rsid w:val="0080370D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923C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634B"/>
    <w:rsid w:val="00987D47"/>
    <w:rsid w:val="009910BF"/>
    <w:rsid w:val="009927F0"/>
    <w:rsid w:val="009952A0"/>
    <w:rsid w:val="009961C2"/>
    <w:rsid w:val="009971D0"/>
    <w:rsid w:val="009A1D12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711C"/>
    <w:rsid w:val="00A22913"/>
    <w:rsid w:val="00A3013A"/>
    <w:rsid w:val="00A309DE"/>
    <w:rsid w:val="00A34A24"/>
    <w:rsid w:val="00A374C9"/>
    <w:rsid w:val="00A4489C"/>
    <w:rsid w:val="00A64D37"/>
    <w:rsid w:val="00A71169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093D"/>
    <w:rsid w:val="00B91767"/>
    <w:rsid w:val="00BA002A"/>
    <w:rsid w:val="00BA57AF"/>
    <w:rsid w:val="00BB0B21"/>
    <w:rsid w:val="00BB1273"/>
    <w:rsid w:val="00BB544B"/>
    <w:rsid w:val="00BC1788"/>
    <w:rsid w:val="00BC322A"/>
    <w:rsid w:val="00BC6C3E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C3D21"/>
    <w:rsid w:val="00CD058C"/>
    <w:rsid w:val="00CD4AF6"/>
    <w:rsid w:val="00CD58FF"/>
    <w:rsid w:val="00CD5CDC"/>
    <w:rsid w:val="00CD7568"/>
    <w:rsid w:val="00CF19CC"/>
    <w:rsid w:val="00CF2515"/>
    <w:rsid w:val="00D055A4"/>
    <w:rsid w:val="00D13FE9"/>
    <w:rsid w:val="00D161F7"/>
    <w:rsid w:val="00D224A7"/>
    <w:rsid w:val="00D35116"/>
    <w:rsid w:val="00D61020"/>
    <w:rsid w:val="00D63917"/>
    <w:rsid w:val="00D64C44"/>
    <w:rsid w:val="00D72E68"/>
    <w:rsid w:val="00D734AF"/>
    <w:rsid w:val="00D756E1"/>
    <w:rsid w:val="00D80AB8"/>
    <w:rsid w:val="00D827DB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E044DE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A6989"/>
    <w:rsid w:val="00EB0363"/>
    <w:rsid w:val="00EB0988"/>
    <w:rsid w:val="00EB2945"/>
    <w:rsid w:val="00EB5502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529B4"/>
    <w:rsid w:val="00F56C08"/>
    <w:rsid w:val="00F571A3"/>
    <w:rsid w:val="00F672EB"/>
    <w:rsid w:val="00F67F98"/>
    <w:rsid w:val="00F711D1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hkolakashirinskaya-r45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kashirinskaya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E8B3-73FE-4C42-88B5-97F897ED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5315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Школа</cp:lastModifiedBy>
  <cp:revision>201</cp:revision>
  <cp:lastPrinted>2023-11-01T08:14:00Z</cp:lastPrinted>
  <dcterms:created xsi:type="dcterms:W3CDTF">2020-01-13T07:22:00Z</dcterms:created>
  <dcterms:modified xsi:type="dcterms:W3CDTF">2024-06-07T09:02:00Z</dcterms:modified>
</cp:coreProperties>
</file>